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450E" w14:textId="15F8AFA8" w:rsidR="00BC5F36" w:rsidRPr="007479A3" w:rsidRDefault="007479A3" w:rsidP="007A0BD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479A3">
        <w:rPr>
          <w:rFonts w:ascii="Arial" w:hAnsi="Arial" w:cs="Arial"/>
          <w:sz w:val="22"/>
          <w:szCs w:val="22"/>
        </w:rPr>
        <w:t>In August 2021, the Australian Government Department of Infrastructure, Transport, Regional Development and Communications announced the Productivity Commission would undertake a study to examine the value, nature, and structure of markets for Aboriginal and Torres Strait Islander arts and crafts, and policies to address deficiencies in these markets.</w:t>
      </w:r>
    </w:p>
    <w:p w14:paraId="04C76F2C" w14:textId="2A80BB2C" w:rsidR="007479A3" w:rsidRPr="002A27E0" w:rsidRDefault="004B7D72" w:rsidP="007A0BDA">
      <w:pPr>
        <w:pStyle w:val="ListParagraph"/>
        <w:keepLines/>
        <w:widowControl w:val="0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</w:t>
      </w:r>
      <w:r w:rsidR="007479A3" w:rsidRPr="007479A3">
        <w:rPr>
          <w:rFonts w:ascii="Arial" w:eastAsia="Calibri" w:hAnsi="Arial" w:cs="Arial"/>
          <w:sz w:val="22"/>
          <w:szCs w:val="22"/>
        </w:rPr>
        <w:t xml:space="preserve">he </w:t>
      </w:r>
      <w:r w:rsidR="007479A3" w:rsidRPr="002A27E0">
        <w:rPr>
          <w:rFonts w:ascii="Arial" w:hAnsi="Arial" w:cs="Arial"/>
          <w:sz w:val="22"/>
          <w:szCs w:val="22"/>
        </w:rPr>
        <w:t xml:space="preserve">Productivity Commission’s Aboriginal and Torres Strait Islander Visual Arts and Crafts draft report </w:t>
      </w:r>
      <w:r w:rsidR="00A1564D">
        <w:rPr>
          <w:rFonts w:ascii="Arial" w:hAnsi="Arial" w:cs="Arial"/>
          <w:sz w:val="22"/>
          <w:szCs w:val="22"/>
        </w:rPr>
        <w:t xml:space="preserve">was released 19 July 2022 and makes recommendations regarding cultural rights legislation, industry standards, Indigenous Cultural and Intellectual property protection and evaluating Australian Government funding to the sector.   </w:t>
      </w:r>
    </w:p>
    <w:p w14:paraId="007788CA" w14:textId="4839F80E" w:rsidR="007479A3" w:rsidRPr="002A27E0" w:rsidRDefault="007479A3" w:rsidP="007A0BDA">
      <w:pPr>
        <w:pStyle w:val="ListParagraph"/>
        <w:keepLines/>
        <w:widowControl w:val="0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eastAsia="Calibri" w:hAnsi="Arial" w:cs="Arial"/>
          <w:sz w:val="22"/>
          <w:szCs w:val="22"/>
        </w:rPr>
      </w:pPr>
      <w:r w:rsidRPr="002A27E0">
        <w:rPr>
          <w:rFonts w:ascii="Arial" w:hAnsi="Arial" w:cs="Arial"/>
          <w:sz w:val="22"/>
          <w:szCs w:val="22"/>
        </w:rPr>
        <w:t xml:space="preserve">The Queensland Government submission </w:t>
      </w:r>
      <w:r w:rsidR="002A27E0" w:rsidRPr="002A27E0">
        <w:rPr>
          <w:rFonts w:ascii="Arial" w:hAnsi="Arial" w:cs="Arial"/>
          <w:sz w:val="22"/>
          <w:szCs w:val="22"/>
        </w:rPr>
        <w:t>outlines the Queensland Government’s Statement of Commitment to a reframed relationship with First Nations peoples, the Cultural Engagement Strategy and the Creative Together priority to Elevate First Nations arts. The</w:t>
      </w:r>
      <w:r w:rsidR="002A27E0" w:rsidRPr="002A27E0">
        <w:rPr>
          <w:rFonts w:ascii="Arial" w:eastAsia="Calibri" w:hAnsi="Arial" w:cs="Arial"/>
          <w:sz w:val="22"/>
          <w:szCs w:val="22"/>
        </w:rPr>
        <w:t xml:space="preserve"> submission supports or supports in principle all but one recommendation in the report</w:t>
      </w:r>
      <w:r w:rsidR="00E260F8">
        <w:rPr>
          <w:rFonts w:ascii="Arial" w:eastAsia="Calibri" w:hAnsi="Arial" w:cs="Arial"/>
          <w:sz w:val="22"/>
          <w:szCs w:val="22"/>
        </w:rPr>
        <w:t>, with one recommendation noted subject to further consultation</w:t>
      </w:r>
      <w:r w:rsidR="002A27E0" w:rsidRPr="002A27E0">
        <w:rPr>
          <w:rFonts w:ascii="Arial" w:eastAsia="Calibri" w:hAnsi="Arial" w:cs="Arial"/>
          <w:sz w:val="22"/>
          <w:szCs w:val="22"/>
        </w:rPr>
        <w:t>.</w:t>
      </w:r>
    </w:p>
    <w:p w14:paraId="77C6F01A" w14:textId="45C1191B" w:rsidR="00575468" w:rsidRPr="007479A3" w:rsidRDefault="00575468" w:rsidP="007A0BD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479A3">
        <w:rPr>
          <w:rFonts w:ascii="Arial" w:hAnsi="Arial" w:cs="Arial"/>
          <w:sz w:val="22"/>
          <w:szCs w:val="22"/>
        </w:rPr>
        <w:t>The</w:t>
      </w:r>
      <w:r w:rsidRPr="007479A3">
        <w:rPr>
          <w:rFonts w:ascii="Arial" w:eastAsia="Calibri" w:hAnsi="Arial" w:cs="Arial"/>
          <w:sz w:val="22"/>
          <w:szCs w:val="22"/>
          <w:lang w:val="en-US"/>
        </w:rPr>
        <w:t xml:space="preserve"> National Cultural Policy consultation announced in July 2022 aims to </w:t>
      </w:r>
      <w:r w:rsidRPr="007479A3">
        <w:rPr>
          <w:rFonts w:ascii="Arial" w:hAnsi="Arial" w:cs="Arial"/>
          <w:sz w:val="22"/>
          <w:szCs w:val="22"/>
        </w:rPr>
        <w:t>establish a comprehensive roadmap to guide the skills and resources required to transform and safeguard a diverse, vibrant and sustainable arts, entertainment and cultural sector now and into the future.</w:t>
      </w:r>
    </w:p>
    <w:p w14:paraId="1BED060A" w14:textId="70B97CA9" w:rsidR="007479A3" w:rsidRPr="007479A3" w:rsidRDefault="007479A3" w:rsidP="007A0BD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479A3">
        <w:rPr>
          <w:rFonts w:ascii="Arial" w:hAnsi="Arial" w:cs="Arial"/>
          <w:sz w:val="22"/>
          <w:szCs w:val="22"/>
        </w:rPr>
        <w:t xml:space="preserve">The Queensland Government prepared a submission </w:t>
      </w:r>
      <w:r w:rsidR="002A27E0" w:rsidRPr="002A27E0">
        <w:rPr>
          <w:rFonts w:ascii="Arial" w:hAnsi="Arial" w:cs="Arial"/>
          <w:sz w:val="22"/>
          <w:szCs w:val="22"/>
        </w:rPr>
        <w:t>outlining the potential national opportunities under each of the five national pillars.</w:t>
      </w:r>
    </w:p>
    <w:p w14:paraId="52C27EBB" w14:textId="780878A8" w:rsidR="00575468" w:rsidRPr="007479A3" w:rsidRDefault="00575468" w:rsidP="007A0BD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Hlk111996066"/>
      <w:r w:rsidRPr="007479A3">
        <w:rPr>
          <w:rFonts w:ascii="Arial" w:eastAsia="Calibri" w:hAnsi="Arial" w:cs="Arial"/>
          <w:bCs/>
          <w:color w:val="auto"/>
          <w:sz w:val="22"/>
          <w:szCs w:val="22"/>
          <w:u w:val="single"/>
          <w:lang w:eastAsia="en-US"/>
        </w:rPr>
        <w:t>Cabinet</w:t>
      </w:r>
      <w:r w:rsidR="00E260F8">
        <w:rPr>
          <w:rFonts w:ascii="Arial" w:eastAsia="Calibri" w:hAnsi="Arial" w:cs="Arial"/>
          <w:bCs/>
          <w:color w:val="auto"/>
          <w:sz w:val="22"/>
          <w:szCs w:val="22"/>
          <w:u w:val="single"/>
          <w:lang w:eastAsia="en-US"/>
        </w:rPr>
        <w:t xml:space="preserve"> </w:t>
      </w:r>
      <w:r w:rsidRPr="007479A3">
        <w:rPr>
          <w:rFonts w:ascii="Arial" w:hAnsi="Arial" w:cs="Arial"/>
          <w:sz w:val="22"/>
          <w:szCs w:val="22"/>
          <w:u w:val="single"/>
        </w:rPr>
        <w:t>approved</w:t>
      </w:r>
      <w:r w:rsidRPr="007479A3">
        <w:rPr>
          <w:rFonts w:ascii="Arial" w:hAnsi="Arial" w:cs="Arial"/>
          <w:sz w:val="22"/>
          <w:szCs w:val="22"/>
        </w:rPr>
        <w:t xml:space="preserve"> the Queensland Government submission to Productivity Commission: Aboriginal and Torres Strait Islander Visual Arts and Crafts inquiry, its lodgement and its public release. </w:t>
      </w:r>
    </w:p>
    <w:p w14:paraId="76654397" w14:textId="6FD765EA" w:rsidR="00575468" w:rsidRPr="007479A3" w:rsidRDefault="00575468" w:rsidP="007A0BDA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479A3">
        <w:rPr>
          <w:rFonts w:ascii="Arial" w:eastAsia="Calibri" w:hAnsi="Arial" w:cs="Arial"/>
          <w:bCs/>
          <w:color w:val="auto"/>
          <w:sz w:val="22"/>
          <w:szCs w:val="22"/>
          <w:u w:val="single"/>
          <w:lang w:eastAsia="en-US"/>
        </w:rPr>
        <w:t>Cabinet</w:t>
      </w:r>
      <w:r w:rsidRPr="007479A3">
        <w:rPr>
          <w:rFonts w:ascii="Arial" w:hAnsi="Arial" w:cs="Arial"/>
          <w:sz w:val="22"/>
          <w:szCs w:val="22"/>
          <w:u w:val="single"/>
        </w:rPr>
        <w:t xml:space="preserve"> approved</w:t>
      </w:r>
      <w:r w:rsidRPr="007479A3">
        <w:rPr>
          <w:rFonts w:ascii="Arial" w:hAnsi="Arial" w:cs="Arial"/>
          <w:sz w:val="22"/>
          <w:szCs w:val="22"/>
        </w:rPr>
        <w:t xml:space="preserve"> the Queensland Government submission to Australian Government: consultation for a new National Cultural Policy, its lodgement and its public release. </w:t>
      </w:r>
    </w:p>
    <w:bookmarkEnd w:id="0"/>
    <w:p w14:paraId="1AA0E692" w14:textId="6D36C0D8" w:rsidR="008A027D" w:rsidRPr="007479A3" w:rsidRDefault="00FE040C" w:rsidP="007A0BDA">
      <w:pPr>
        <w:numPr>
          <w:ilvl w:val="0"/>
          <w:numId w:val="1"/>
        </w:numPr>
        <w:spacing w:before="360"/>
        <w:ind w:left="363" w:hanging="357"/>
        <w:jc w:val="both"/>
        <w:rPr>
          <w:rFonts w:ascii="Arial" w:eastAsia="Calibri" w:hAnsi="Arial" w:cs="Arial"/>
          <w:bCs/>
          <w:color w:val="auto"/>
          <w:sz w:val="22"/>
          <w:szCs w:val="22"/>
          <w:u w:val="single"/>
          <w:lang w:eastAsia="en-US"/>
        </w:rPr>
      </w:pPr>
      <w:r w:rsidRPr="007A0BDA">
        <w:rPr>
          <w:rFonts w:ascii="Arial" w:eastAsia="Calibri" w:hAnsi="Arial" w:cs="Arial"/>
          <w:bCs/>
          <w:i/>
          <w:iCs/>
          <w:color w:val="auto"/>
          <w:sz w:val="22"/>
          <w:szCs w:val="22"/>
          <w:u w:val="single"/>
          <w:lang w:eastAsia="en-US"/>
        </w:rPr>
        <w:t>Attachments</w:t>
      </w:r>
      <w:r w:rsidR="007A0BDA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:</w:t>
      </w:r>
    </w:p>
    <w:p w14:paraId="717A65A3" w14:textId="5817A05B" w:rsidR="00575468" w:rsidRPr="007479A3" w:rsidRDefault="00EC4847" w:rsidP="002B611D">
      <w:pPr>
        <w:pStyle w:val="ListParagraph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75468" w:rsidRPr="00F1269B">
          <w:rPr>
            <w:rStyle w:val="Hyperlink"/>
            <w:rFonts w:ascii="Arial" w:hAnsi="Arial" w:cs="Arial"/>
            <w:sz w:val="22"/>
            <w:szCs w:val="22"/>
          </w:rPr>
          <w:t xml:space="preserve">Queensland Government </w:t>
        </w:r>
        <w:r w:rsidR="001218B5" w:rsidRPr="00F1269B">
          <w:rPr>
            <w:rStyle w:val="Hyperlink"/>
            <w:rFonts w:ascii="Arial" w:hAnsi="Arial" w:cs="Arial"/>
            <w:sz w:val="22"/>
            <w:szCs w:val="22"/>
          </w:rPr>
          <w:t>submission</w:t>
        </w:r>
        <w:r w:rsidR="00575468" w:rsidRPr="00F1269B">
          <w:rPr>
            <w:rStyle w:val="Hyperlink"/>
            <w:rFonts w:ascii="Arial" w:hAnsi="Arial" w:cs="Arial"/>
            <w:sz w:val="22"/>
            <w:szCs w:val="22"/>
          </w:rPr>
          <w:t xml:space="preserve"> to Productivity Commission: Aboriginal and Torres Strait Islander Visual Arts and Crafts inquiry</w:t>
        </w:r>
      </w:hyperlink>
    </w:p>
    <w:p w14:paraId="52B18CAB" w14:textId="6056F1D0" w:rsidR="00575468" w:rsidRPr="007479A3" w:rsidRDefault="00EC4847" w:rsidP="002B611D">
      <w:pPr>
        <w:pStyle w:val="ListParagraph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575468" w:rsidRPr="00F1269B">
          <w:rPr>
            <w:rStyle w:val="Hyperlink"/>
            <w:rFonts w:ascii="Arial" w:hAnsi="Arial" w:cs="Arial"/>
            <w:sz w:val="22"/>
            <w:szCs w:val="22"/>
          </w:rPr>
          <w:t xml:space="preserve">Queensland Government </w:t>
        </w:r>
        <w:r w:rsidR="001218B5" w:rsidRPr="00F1269B">
          <w:rPr>
            <w:rStyle w:val="Hyperlink"/>
            <w:rFonts w:ascii="Arial" w:hAnsi="Arial" w:cs="Arial"/>
            <w:sz w:val="22"/>
            <w:szCs w:val="22"/>
          </w:rPr>
          <w:t>submission</w:t>
        </w:r>
        <w:r w:rsidR="00575468" w:rsidRPr="00F1269B">
          <w:rPr>
            <w:rStyle w:val="Hyperlink"/>
            <w:rFonts w:ascii="Arial" w:hAnsi="Arial" w:cs="Arial"/>
            <w:sz w:val="22"/>
            <w:szCs w:val="22"/>
          </w:rPr>
          <w:t xml:space="preserve"> to Australian Government: consultation for a new National Cultural Policy</w:t>
        </w:r>
      </w:hyperlink>
    </w:p>
    <w:sectPr w:rsidR="00575468" w:rsidRPr="007479A3" w:rsidSect="004C72E0">
      <w:headerReference w:type="even" r:id="rId12"/>
      <w:headerReference w:type="default" r:id="rId13"/>
      <w:head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49C" w14:textId="77777777" w:rsidR="001F1EE9" w:rsidRDefault="001F1EE9" w:rsidP="00120D89">
      <w:r>
        <w:separator/>
      </w:r>
    </w:p>
  </w:endnote>
  <w:endnote w:type="continuationSeparator" w:id="0">
    <w:p w14:paraId="2C6D83C6" w14:textId="77777777" w:rsidR="001F1EE9" w:rsidRDefault="001F1EE9" w:rsidP="0012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DE4A3" w14:textId="77777777" w:rsidR="001F1EE9" w:rsidRDefault="001F1EE9" w:rsidP="00120D89">
      <w:r>
        <w:separator/>
      </w:r>
    </w:p>
  </w:footnote>
  <w:footnote w:type="continuationSeparator" w:id="0">
    <w:p w14:paraId="043766C5" w14:textId="77777777" w:rsidR="001F1EE9" w:rsidRDefault="001F1EE9" w:rsidP="0012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A306" w14:textId="17CC5960" w:rsidR="00EC4847" w:rsidRDefault="00EC48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8D8162" wp14:editId="5402A5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390715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0C00C" w14:textId="43F45F88" w:rsidR="00EC4847" w:rsidRPr="00EC4847" w:rsidRDefault="00EC4847" w:rsidP="00EC48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EC48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D8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AA0C00C" w14:textId="43F45F88" w:rsidR="00EC4847" w:rsidRPr="00EC4847" w:rsidRDefault="00EC4847" w:rsidP="00EC484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EC4847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6FDF" w14:textId="1D692E7F" w:rsidR="00937A4A" w:rsidRPr="00937A4A" w:rsidRDefault="00EC4847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296D44" wp14:editId="1A7CC3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3579361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BEFE7" w14:textId="3F8F6F79" w:rsidR="00EC4847" w:rsidRPr="00EC4847" w:rsidRDefault="00EC4847" w:rsidP="00EC48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EC48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96D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BDBEFE7" w14:textId="3F8F6F79" w:rsidR="00EC4847" w:rsidRPr="00EC4847" w:rsidRDefault="00EC4847" w:rsidP="00EC484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EC4847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2FB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0A9A68A" w14:textId="77777777" w:rsidR="00937A4A" w:rsidRPr="00937A4A" w:rsidRDefault="00EC4847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766BE97" w14:textId="7B2C29CA" w:rsidR="00937A4A" w:rsidRPr="00BD6C2E" w:rsidRDefault="004A5D5C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B912FB" w:rsidRPr="00BD6C2E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B4680C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406C99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203E3307" w14:textId="77777777" w:rsidR="00575468" w:rsidRPr="00582BD1" w:rsidRDefault="00575468" w:rsidP="002B611D">
    <w:pPr>
      <w:keepNext/>
      <w:keepLines/>
      <w:spacing w:before="240"/>
      <w:jc w:val="both"/>
      <w:rPr>
        <w:rFonts w:ascii="Arial" w:hAnsi="Arial" w:cs="Arial"/>
        <w:b/>
        <w:bCs/>
        <w:sz w:val="22"/>
        <w:szCs w:val="22"/>
        <w:u w:val="single"/>
      </w:rPr>
    </w:pPr>
    <w:bookmarkStart w:id="1" w:name="_Hlk111726044"/>
    <w:r w:rsidRPr="00582BD1">
      <w:rPr>
        <w:rFonts w:ascii="Arial" w:hAnsi="Arial" w:cs="Arial"/>
        <w:b/>
        <w:bCs/>
        <w:sz w:val="22"/>
        <w:szCs w:val="22"/>
        <w:u w:val="single"/>
      </w:rPr>
      <w:t xml:space="preserve">Queensland Government submissions to </w:t>
    </w:r>
    <w:r w:rsidRPr="00582BD1">
      <w:rPr>
        <w:rFonts w:ascii="Arial" w:hAnsi="Arial" w:cs="Arial"/>
        <w:b/>
        <w:bCs/>
        <w:i/>
        <w:iCs/>
        <w:sz w:val="22"/>
        <w:szCs w:val="22"/>
        <w:u w:val="single"/>
      </w:rPr>
      <w:t>Aboriginal and Torres Strait Islander Visual Arts and Crafts</w:t>
    </w:r>
    <w:r w:rsidRPr="00582BD1">
      <w:rPr>
        <w:rFonts w:ascii="Arial" w:hAnsi="Arial" w:cs="Arial"/>
        <w:b/>
        <w:bCs/>
        <w:sz w:val="22"/>
        <w:szCs w:val="22"/>
        <w:u w:val="single"/>
      </w:rPr>
      <w:t xml:space="preserve"> inquiry and consultation for a new National Cultural Policy</w:t>
    </w:r>
  </w:p>
  <w:bookmarkEnd w:id="1"/>
  <w:p w14:paraId="1D8154A5" w14:textId="665AED9D" w:rsidR="00CB1501" w:rsidRPr="00582BD1" w:rsidRDefault="00EF34D7" w:rsidP="002B611D">
    <w:pPr>
      <w:pStyle w:val="Header"/>
      <w:spacing w:before="120"/>
      <w:jc w:val="both"/>
      <w:rPr>
        <w:rFonts w:ascii="Arial" w:hAnsi="Arial" w:cs="Arial"/>
        <w:b/>
        <w:bCs/>
        <w:sz w:val="22"/>
        <w:szCs w:val="22"/>
        <w:u w:val="single"/>
      </w:rPr>
    </w:pPr>
    <w:r w:rsidRPr="00582BD1">
      <w:rPr>
        <w:rFonts w:ascii="Arial" w:hAnsi="Arial" w:cs="Arial"/>
        <w:b/>
        <w:bCs/>
        <w:sz w:val="22"/>
        <w:szCs w:val="22"/>
        <w:u w:val="single"/>
      </w:rPr>
      <w:t>Minister for Communities and Housing, Minister for Digital Economy and Minister for the Arts</w:t>
    </w:r>
  </w:p>
  <w:p w14:paraId="0598F1F2" w14:textId="77777777" w:rsidR="00CB1501" w:rsidRDefault="00EC4847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BC20" w14:textId="01C55283" w:rsidR="00EC4847" w:rsidRDefault="00EC48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FB2331" wp14:editId="6325D8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974118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47666" w14:textId="6FAF0E14" w:rsidR="00EC4847" w:rsidRPr="00EC4847" w:rsidRDefault="00EC4847" w:rsidP="00EC48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EC48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B23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8347666" w14:textId="6FAF0E14" w:rsidR="00EC4847" w:rsidRPr="00EC4847" w:rsidRDefault="00EC4847" w:rsidP="00EC484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EC4847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441"/>
    <w:multiLevelType w:val="hybridMultilevel"/>
    <w:tmpl w:val="4F6C49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83B5D"/>
    <w:multiLevelType w:val="hybridMultilevel"/>
    <w:tmpl w:val="3654C114"/>
    <w:lvl w:ilvl="0" w:tplc="34ECC3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0EA5"/>
    <w:multiLevelType w:val="hybridMultilevel"/>
    <w:tmpl w:val="0AE8A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7CCD"/>
    <w:multiLevelType w:val="hybridMultilevel"/>
    <w:tmpl w:val="98EAE5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7" w:hanging="180"/>
      </w:pPr>
    </w:lvl>
    <w:lvl w:ilvl="3" w:tplc="0C09000F" w:tentative="1">
      <w:start w:val="1"/>
      <w:numFmt w:val="decimal"/>
      <w:lvlText w:val="%4."/>
      <w:lvlJc w:val="left"/>
      <w:pPr>
        <w:ind w:left="2527" w:hanging="360"/>
      </w:pPr>
    </w:lvl>
    <w:lvl w:ilvl="4" w:tplc="0C090019" w:tentative="1">
      <w:start w:val="1"/>
      <w:numFmt w:val="lowerLetter"/>
      <w:lvlText w:val="%5."/>
      <w:lvlJc w:val="left"/>
      <w:pPr>
        <w:ind w:left="3247" w:hanging="360"/>
      </w:pPr>
    </w:lvl>
    <w:lvl w:ilvl="5" w:tplc="0C09001B" w:tentative="1">
      <w:start w:val="1"/>
      <w:numFmt w:val="lowerRoman"/>
      <w:lvlText w:val="%6."/>
      <w:lvlJc w:val="right"/>
      <w:pPr>
        <w:ind w:left="3967" w:hanging="180"/>
      </w:pPr>
    </w:lvl>
    <w:lvl w:ilvl="6" w:tplc="0C09000F" w:tentative="1">
      <w:start w:val="1"/>
      <w:numFmt w:val="decimal"/>
      <w:lvlText w:val="%7."/>
      <w:lvlJc w:val="left"/>
      <w:pPr>
        <w:ind w:left="4687" w:hanging="360"/>
      </w:pPr>
    </w:lvl>
    <w:lvl w:ilvl="7" w:tplc="0C090019" w:tentative="1">
      <w:start w:val="1"/>
      <w:numFmt w:val="lowerLetter"/>
      <w:lvlText w:val="%8."/>
      <w:lvlJc w:val="left"/>
      <w:pPr>
        <w:ind w:left="5407" w:hanging="360"/>
      </w:pPr>
    </w:lvl>
    <w:lvl w:ilvl="8" w:tplc="0C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0FC65A04"/>
    <w:multiLevelType w:val="hybridMultilevel"/>
    <w:tmpl w:val="A7165F9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9A123A"/>
    <w:multiLevelType w:val="hybridMultilevel"/>
    <w:tmpl w:val="CAB4DF96"/>
    <w:lvl w:ilvl="0" w:tplc="B1B296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5B8A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438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6C7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8A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087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38F9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7A3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0A4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628AA"/>
    <w:multiLevelType w:val="hybridMultilevel"/>
    <w:tmpl w:val="6014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38AA"/>
    <w:multiLevelType w:val="hybridMultilevel"/>
    <w:tmpl w:val="06DA4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E67F4"/>
    <w:multiLevelType w:val="hybridMultilevel"/>
    <w:tmpl w:val="6C00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7799"/>
    <w:multiLevelType w:val="hybridMultilevel"/>
    <w:tmpl w:val="84982486"/>
    <w:lvl w:ilvl="0" w:tplc="916E9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60BFF"/>
    <w:multiLevelType w:val="hybridMultilevel"/>
    <w:tmpl w:val="DAA0E7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9D3EF5"/>
    <w:multiLevelType w:val="hybridMultilevel"/>
    <w:tmpl w:val="3EE2AFEC"/>
    <w:lvl w:ilvl="0" w:tplc="7E7270EC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90863"/>
    <w:multiLevelType w:val="hybridMultilevel"/>
    <w:tmpl w:val="E38E7AE2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836BC8"/>
    <w:multiLevelType w:val="hybridMultilevel"/>
    <w:tmpl w:val="C62E809E"/>
    <w:lvl w:ilvl="0" w:tplc="B3E4E7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D52DB"/>
    <w:multiLevelType w:val="hybridMultilevel"/>
    <w:tmpl w:val="70E20D14"/>
    <w:lvl w:ilvl="0" w:tplc="BDDAFCD2">
      <w:start w:val="1"/>
      <w:numFmt w:val="decimal"/>
      <w:pStyle w:val="NumberedBlockText"/>
      <w:lvlText w:val="%1."/>
      <w:lvlJc w:val="left"/>
      <w:pPr>
        <w:tabs>
          <w:tab w:val="num" w:pos="816"/>
        </w:tabs>
        <w:ind w:left="816" w:hanging="360"/>
      </w:pPr>
    </w:lvl>
    <w:lvl w:ilvl="1" w:tplc="8E387C24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DF380B6C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86D05C7E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AF62DE0C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1CB222DA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78E45478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FD265890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E7764A7C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6" w15:restartNumberingAfterBreak="0">
    <w:nsid w:val="7B653718"/>
    <w:multiLevelType w:val="hybridMultilevel"/>
    <w:tmpl w:val="B3F8CC4A"/>
    <w:lvl w:ilvl="0" w:tplc="1D303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B8A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438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6C74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8A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0877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38F9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7A3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0A4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203D92"/>
    <w:multiLevelType w:val="hybridMultilevel"/>
    <w:tmpl w:val="9768F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6872058">
    <w:abstractNumId w:val="18"/>
  </w:num>
  <w:num w:numId="2" w16cid:durableId="1464541785">
    <w:abstractNumId w:val="11"/>
  </w:num>
  <w:num w:numId="3" w16cid:durableId="1098331904">
    <w:abstractNumId w:val="13"/>
  </w:num>
  <w:num w:numId="4" w16cid:durableId="376323793">
    <w:abstractNumId w:val="17"/>
  </w:num>
  <w:num w:numId="5" w16cid:durableId="1782412534">
    <w:abstractNumId w:val="3"/>
  </w:num>
  <w:num w:numId="6" w16cid:durableId="1556892978">
    <w:abstractNumId w:val="0"/>
  </w:num>
  <w:num w:numId="7" w16cid:durableId="1239051157">
    <w:abstractNumId w:val="1"/>
  </w:num>
  <w:num w:numId="8" w16cid:durableId="1094784760">
    <w:abstractNumId w:val="7"/>
  </w:num>
  <w:num w:numId="9" w16cid:durableId="176577397">
    <w:abstractNumId w:val="9"/>
  </w:num>
  <w:num w:numId="10" w16cid:durableId="349573098">
    <w:abstractNumId w:val="6"/>
  </w:num>
  <w:num w:numId="11" w16cid:durableId="1682200165">
    <w:abstractNumId w:val="10"/>
  </w:num>
  <w:num w:numId="12" w16cid:durableId="12023542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4859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3140798">
    <w:abstractNumId w:val="15"/>
  </w:num>
  <w:num w:numId="15" w16cid:durableId="1719741261">
    <w:abstractNumId w:val="16"/>
  </w:num>
  <w:num w:numId="16" w16cid:durableId="60909488">
    <w:abstractNumId w:val="5"/>
  </w:num>
  <w:num w:numId="17" w16cid:durableId="1896239144">
    <w:abstractNumId w:val="4"/>
  </w:num>
  <w:num w:numId="18" w16cid:durableId="1456212130">
    <w:abstractNumId w:val="8"/>
  </w:num>
  <w:num w:numId="19" w16cid:durableId="1384258606">
    <w:abstractNumId w:val="2"/>
  </w:num>
  <w:num w:numId="20" w16cid:durableId="760294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89"/>
    <w:rsid w:val="000030FB"/>
    <w:rsid w:val="00030191"/>
    <w:rsid w:val="000315EC"/>
    <w:rsid w:val="00042E87"/>
    <w:rsid w:val="00044573"/>
    <w:rsid w:val="000464F6"/>
    <w:rsid w:val="0005231C"/>
    <w:rsid w:val="00054646"/>
    <w:rsid w:val="000A64EA"/>
    <w:rsid w:val="000B3567"/>
    <w:rsid w:val="000D4C43"/>
    <w:rsid w:val="00117507"/>
    <w:rsid w:val="00120D89"/>
    <w:rsid w:val="001218B5"/>
    <w:rsid w:val="001241C9"/>
    <w:rsid w:val="001271C8"/>
    <w:rsid w:val="00127E37"/>
    <w:rsid w:val="001550F2"/>
    <w:rsid w:val="00161140"/>
    <w:rsid w:val="001753A6"/>
    <w:rsid w:val="00190844"/>
    <w:rsid w:val="00197E6F"/>
    <w:rsid w:val="001A3693"/>
    <w:rsid w:val="001D3CAF"/>
    <w:rsid w:val="001F1EE9"/>
    <w:rsid w:val="00227789"/>
    <w:rsid w:val="00240214"/>
    <w:rsid w:val="00257631"/>
    <w:rsid w:val="002719C3"/>
    <w:rsid w:val="00297ADD"/>
    <w:rsid w:val="002A27E0"/>
    <w:rsid w:val="002A589F"/>
    <w:rsid w:val="002B44E7"/>
    <w:rsid w:val="002B611D"/>
    <w:rsid w:val="002D5E4F"/>
    <w:rsid w:val="002E7010"/>
    <w:rsid w:val="002F1D84"/>
    <w:rsid w:val="00302E53"/>
    <w:rsid w:val="00303DEF"/>
    <w:rsid w:val="00336437"/>
    <w:rsid w:val="0036362E"/>
    <w:rsid w:val="00395567"/>
    <w:rsid w:val="003C2B99"/>
    <w:rsid w:val="003E0C88"/>
    <w:rsid w:val="0040510F"/>
    <w:rsid w:val="00406C99"/>
    <w:rsid w:val="00410CC4"/>
    <w:rsid w:val="004336AE"/>
    <w:rsid w:val="00475284"/>
    <w:rsid w:val="00491FBB"/>
    <w:rsid w:val="00495B81"/>
    <w:rsid w:val="004A3B04"/>
    <w:rsid w:val="004A5D5C"/>
    <w:rsid w:val="004B7D72"/>
    <w:rsid w:val="004C15E9"/>
    <w:rsid w:val="004C3F6D"/>
    <w:rsid w:val="004C72E0"/>
    <w:rsid w:val="004D3A2E"/>
    <w:rsid w:val="004E04F7"/>
    <w:rsid w:val="004E7B71"/>
    <w:rsid w:val="004F5E9D"/>
    <w:rsid w:val="0050215B"/>
    <w:rsid w:val="00503FEB"/>
    <w:rsid w:val="005169AD"/>
    <w:rsid w:val="00524B92"/>
    <w:rsid w:val="0054618B"/>
    <w:rsid w:val="00554ED7"/>
    <w:rsid w:val="005610F2"/>
    <w:rsid w:val="00575468"/>
    <w:rsid w:val="00582BD1"/>
    <w:rsid w:val="00586107"/>
    <w:rsid w:val="005D1B6B"/>
    <w:rsid w:val="005D5B76"/>
    <w:rsid w:val="005F3B43"/>
    <w:rsid w:val="00600C07"/>
    <w:rsid w:val="00616004"/>
    <w:rsid w:val="0061624E"/>
    <w:rsid w:val="00633D36"/>
    <w:rsid w:val="006668B7"/>
    <w:rsid w:val="0067157E"/>
    <w:rsid w:val="00673FCA"/>
    <w:rsid w:val="006742CB"/>
    <w:rsid w:val="00676AA6"/>
    <w:rsid w:val="0068251C"/>
    <w:rsid w:val="0069335F"/>
    <w:rsid w:val="006A7303"/>
    <w:rsid w:val="006C5955"/>
    <w:rsid w:val="006E5920"/>
    <w:rsid w:val="0071177B"/>
    <w:rsid w:val="00732846"/>
    <w:rsid w:val="00742166"/>
    <w:rsid w:val="007479A3"/>
    <w:rsid w:val="00754184"/>
    <w:rsid w:val="007566B7"/>
    <w:rsid w:val="00767105"/>
    <w:rsid w:val="00792179"/>
    <w:rsid w:val="007A0BDA"/>
    <w:rsid w:val="007C316C"/>
    <w:rsid w:val="007D2E0C"/>
    <w:rsid w:val="00800F82"/>
    <w:rsid w:val="00803C0D"/>
    <w:rsid w:val="00823E28"/>
    <w:rsid w:val="00860811"/>
    <w:rsid w:val="00881965"/>
    <w:rsid w:val="008932EE"/>
    <w:rsid w:val="00894E26"/>
    <w:rsid w:val="00895EC1"/>
    <w:rsid w:val="008A027D"/>
    <w:rsid w:val="008B23CF"/>
    <w:rsid w:val="008C5F84"/>
    <w:rsid w:val="008E2FDD"/>
    <w:rsid w:val="008E3B54"/>
    <w:rsid w:val="008F011A"/>
    <w:rsid w:val="009041E8"/>
    <w:rsid w:val="00907B0A"/>
    <w:rsid w:val="0091109F"/>
    <w:rsid w:val="00917342"/>
    <w:rsid w:val="009420A8"/>
    <w:rsid w:val="00964923"/>
    <w:rsid w:val="009768AF"/>
    <w:rsid w:val="009A5244"/>
    <w:rsid w:val="009D71D3"/>
    <w:rsid w:val="009F23D1"/>
    <w:rsid w:val="009F381B"/>
    <w:rsid w:val="00A14A3D"/>
    <w:rsid w:val="00A1564D"/>
    <w:rsid w:val="00A42915"/>
    <w:rsid w:val="00A51746"/>
    <w:rsid w:val="00A53131"/>
    <w:rsid w:val="00AA6719"/>
    <w:rsid w:val="00AC645B"/>
    <w:rsid w:val="00AE004A"/>
    <w:rsid w:val="00AF2EF2"/>
    <w:rsid w:val="00AF681B"/>
    <w:rsid w:val="00B03200"/>
    <w:rsid w:val="00B2450A"/>
    <w:rsid w:val="00B26C5D"/>
    <w:rsid w:val="00B34C32"/>
    <w:rsid w:val="00B4680C"/>
    <w:rsid w:val="00B47DB3"/>
    <w:rsid w:val="00B7471A"/>
    <w:rsid w:val="00B912FB"/>
    <w:rsid w:val="00B949BC"/>
    <w:rsid w:val="00BB460E"/>
    <w:rsid w:val="00BC5F36"/>
    <w:rsid w:val="00BC7B19"/>
    <w:rsid w:val="00BD183D"/>
    <w:rsid w:val="00BD6C2E"/>
    <w:rsid w:val="00BF2CDF"/>
    <w:rsid w:val="00BF3781"/>
    <w:rsid w:val="00C049D2"/>
    <w:rsid w:val="00C21932"/>
    <w:rsid w:val="00C21AD7"/>
    <w:rsid w:val="00C228FC"/>
    <w:rsid w:val="00C23BB0"/>
    <w:rsid w:val="00C325EE"/>
    <w:rsid w:val="00C33BC2"/>
    <w:rsid w:val="00C415D8"/>
    <w:rsid w:val="00C60576"/>
    <w:rsid w:val="00C63CE5"/>
    <w:rsid w:val="00C73476"/>
    <w:rsid w:val="00C9345F"/>
    <w:rsid w:val="00C95A5F"/>
    <w:rsid w:val="00CB0BC1"/>
    <w:rsid w:val="00CB1469"/>
    <w:rsid w:val="00CC2A6F"/>
    <w:rsid w:val="00CF2E6E"/>
    <w:rsid w:val="00CF4CB4"/>
    <w:rsid w:val="00D04616"/>
    <w:rsid w:val="00D05116"/>
    <w:rsid w:val="00D27C67"/>
    <w:rsid w:val="00D53AD2"/>
    <w:rsid w:val="00D555D0"/>
    <w:rsid w:val="00D5694A"/>
    <w:rsid w:val="00D639D0"/>
    <w:rsid w:val="00D64DC3"/>
    <w:rsid w:val="00D725EF"/>
    <w:rsid w:val="00D7712F"/>
    <w:rsid w:val="00D85761"/>
    <w:rsid w:val="00D9243E"/>
    <w:rsid w:val="00D97013"/>
    <w:rsid w:val="00DA0E8B"/>
    <w:rsid w:val="00DD54FF"/>
    <w:rsid w:val="00DD7315"/>
    <w:rsid w:val="00DE1B9F"/>
    <w:rsid w:val="00E14B29"/>
    <w:rsid w:val="00E207E5"/>
    <w:rsid w:val="00E20853"/>
    <w:rsid w:val="00E260F8"/>
    <w:rsid w:val="00E27D85"/>
    <w:rsid w:val="00E327C8"/>
    <w:rsid w:val="00E36249"/>
    <w:rsid w:val="00E45A3A"/>
    <w:rsid w:val="00E57E84"/>
    <w:rsid w:val="00E91BF3"/>
    <w:rsid w:val="00EA5A4C"/>
    <w:rsid w:val="00EC4847"/>
    <w:rsid w:val="00ED40BA"/>
    <w:rsid w:val="00EE401B"/>
    <w:rsid w:val="00EE6285"/>
    <w:rsid w:val="00EF08ED"/>
    <w:rsid w:val="00EF34D7"/>
    <w:rsid w:val="00F02DB1"/>
    <w:rsid w:val="00F10945"/>
    <w:rsid w:val="00F1269B"/>
    <w:rsid w:val="00F15165"/>
    <w:rsid w:val="00F216EC"/>
    <w:rsid w:val="00F74E71"/>
    <w:rsid w:val="00FD019A"/>
    <w:rsid w:val="00FE040C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5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0D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89"/>
  </w:style>
  <w:style w:type="paragraph" w:styleId="Header">
    <w:name w:val="header"/>
    <w:basedOn w:val="Normal"/>
    <w:link w:val="HeaderChar"/>
    <w:uiPriority w:val="99"/>
    <w:unhideWhenUsed/>
    <w:rsid w:val="00120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89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aliases w:val="Bullet Point,Bullet copy,Bullet point,Bullet points,Bulleted List,Content descriptions,F5 List Paragraph,L,List Bullet Paragraph,List Paragraph1,List Paragraph11,List Paragraph111,Lists,Lists_CAB,Lists_FCF,Lists_FM,NFP GP Bulleted List,列出"/>
    <w:basedOn w:val="Normal"/>
    <w:link w:val="ListParagraphChar"/>
    <w:uiPriority w:val="34"/>
    <w:qFormat/>
    <w:rsid w:val="00120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EB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customStyle="1" w:styleId="NumberedBlockText">
    <w:name w:val="Numbered Block Text"/>
    <w:basedOn w:val="Normal"/>
    <w:unhideWhenUsed/>
    <w:rsid w:val="006E5920"/>
    <w:pPr>
      <w:numPr>
        <w:numId w:val="14"/>
      </w:numPr>
      <w:spacing w:line="288" w:lineRule="auto"/>
      <w:ind w:left="821"/>
    </w:pPr>
    <w:rPr>
      <w:rFonts w:ascii="Arial" w:hAnsi="Arial" w:cs="Arial"/>
      <w:color w:val="auto"/>
      <w:sz w:val="22"/>
      <w:szCs w:val="24"/>
      <w:lang w:val="en-US"/>
    </w:rPr>
  </w:style>
  <w:style w:type="character" w:customStyle="1" w:styleId="ListParagraphChar">
    <w:name w:val="List Paragraph Char"/>
    <w:aliases w:val="Bullet Point Char,Bullet copy Char,Bullet point Char,Bullet points Char,Bulleted List Char,Content descriptions Char,F5 List Paragraph Char,L Char,List Bullet Paragraph Char,List Paragraph1 Char,List Paragraph11 Char,Lists Char"/>
    <w:link w:val="ListParagraph"/>
    <w:uiPriority w:val="34"/>
    <w:qFormat/>
    <w:locked/>
    <w:rsid w:val="006E5920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5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1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165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165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F12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6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2/Sep/CulturalPol/Attachments/Policy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pcqld.sharepoint.com/sites/DPC-CABINETSERVICES/Shared%20Documents/General/Proactive%20Release/ToBeProcessed/2022/Sep/CulturalPol/Attachments/Inquir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/>
        <AccountId xsi:nil="true"/>
        <AccountType/>
      </UserInfo>
    </SharedWithUsers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03B74-DA74-47ED-92B1-2AB3BB311B1F}">
  <ds:schemaRefs>
    <ds:schemaRef ds:uri="http://schemas.openxmlformats.org/package/2006/metadata/core-properties"/>
    <ds:schemaRef ds:uri="b8ed82f2-f7bd-423c-8698-5e132afe9245"/>
    <ds:schemaRef ds:uri="http://purl.org/dc/terms/"/>
    <ds:schemaRef ds:uri="http://schemas.microsoft.com/office/infopath/2007/PartnerControls"/>
    <ds:schemaRef ds:uri="63e311de-a790-43ff-be63-577c26c7507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8C2AA5-CEB3-45F5-96D8-15ED40011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ACE3D-BCAF-4022-B160-D8E04794C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2129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Base>https://www.cabinet.qld.gov.au/documents/2022/Sep/CulturalPol/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2022-11-10T01:26:00Z</cp:lastPrinted>
  <dcterms:created xsi:type="dcterms:W3CDTF">2022-11-22T02:11:00Z</dcterms:created>
  <dcterms:modified xsi:type="dcterms:W3CDTF">2023-08-03T22:32:00Z</dcterms:modified>
  <cp:category>Aboriginal_and_Torres_Strait_Islander,Arts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0x010100C6195581182D5D4CAF2C4EF63CF37A03</vt:lpwstr>
  </property>
  <property fmtid="{D5CDD505-2E9C-101B-9397-08002B2CF9AE}" pid="3" name="Order">
    <vt:r8>553200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ClassificationContentMarkingHeaderShapeIds">
    <vt:lpwstr>75aaa85e,2542f2a,1555abe5</vt:lpwstr>
  </property>
  <property fmtid="{D5CDD505-2E9C-101B-9397-08002B2CF9AE}" pid="9" name="ClassificationContentMarkingHeaderFontProps">
    <vt:lpwstr>#008000,20,Calibri</vt:lpwstr>
  </property>
  <property fmtid="{D5CDD505-2E9C-101B-9397-08002B2CF9AE}" pid="10" name="ClassificationContentMarkingHeaderText">
    <vt:lpwstr>OFFICIAL</vt:lpwstr>
  </property>
  <property fmtid="{D5CDD505-2E9C-101B-9397-08002B2CF9AE}" pid="11" name="MSIP_Label_dbba12b5-5c44-45c1-8d23-ce231b9c6da8_Enabled">
    <vt:lpwstr>true</vt:lpwstr>
  </property>
  <property fmtid="{D5CDD505-2E9C-101B-9397-08002B2CF9AE}" pid="12" name="MSIP_Label_dbba12b5-5c44-45c1-8d23-ce231b9c6da8_SetDate">
    <vt:lpwstr>2023-08-03T22:32:07Z</vt:lpwstr>
  </property>
  <property fmtid="{D5CDD505-2E9C-101B-9397-08002B2CF9AE}" pid="13" name="MSIP_Label_dbba12b5-5c44-45c1-8d23-ce231b9c6da8_Method">
    <vt:lpwstr>Standard</vt:lpwstr>
  </property>
  <property fmtid="{D5CDD505-2E9C-101B-9397-08002B2CF9AE}" pid="14" name="MSIP_Label_dbba12b5-5c44-45c1-8d23-ce231b9c6da8_Name">
    <vt:lpwstr>OFFICIAL-PILOT</vt:lpwstr>
  </property>
  <property fmtid="{D5CDD505-2E9C-101B-9397-08002B2CF9AE}" pid="15" name="MSIP_Label_dbba12b5-5c44-45c1-8d23-ce231b9c6da8_SiteId">
    <vt:lpwstr>51778d2a-a6ab-4c76-97dc-782782d65046</vt:lpwstr>
  </property>
  <property fmtid="{D5CDD505-2E9C-101B-9397-08002B2CF9AE}" pid="16" name="MSIP_Label_dbba12b5-5c44-45c1-8d23-ce231b9c6da8_ActionId">
    <vt:lpwstr>b9a70f89-a0e4-4784-9d69-78eb417b21c1</vt:lpwstr>
  </property>
  <property fmtid="{D5CDD505-2E9C-101B-9397-08002B2CF9AE}" pid="17" name="MSIP_Label_dbba12b5-5c44-45c1-8d23-ce231b9c6da8_ContentBits">
    <vt:lpwstr>1</vt:lpwstr>
  </property>
</Properties>
</file>